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kn6axopiueo" w:id="0"/>
      <w:bookmarkEnd w:id="0"/>
      <w:r w:rsidDel="00000000" w:rsidR="00000000" w:rsidRPr="00000000">
        <w:rPr>
          <w:rtl w:val="0"/>
        </w:rPr>
        <w:t xml:space="preserve">Climate Smart Communities Task Force Meeting August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222222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Bronze Certification: Press Release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Include quotes from specific people (Mayor, Shenequa) directly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Add a few specific actions that we’ve completed to demonstrate scope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Get approved by Mayor and Board of Trustees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What’s Next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Community CAP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Have the task force draft a plan or plans first and then open to community feedback via surveys, meetings, etc. That way people have something to comment on / build off of.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Write separate plans / strategies for homeowners, renters, businesses, schools, etc?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Make sure to be sensitive of the broader picture of Village / Resident communication. (Wouldn’t want to send out a survey right now for example, because we just collected the LWRP results.)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Path to Silver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Dedicated meeting this fall: include Mayor and Trustees to understand how Silver Certification could fit into the bigger picture of government actions (like the Comprehensive Plan for example)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Create timeline for target actions, focus on long-term planning and communication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Have themed meetings in order to fully dive into a topic, target experts to attend, complete a conversation? (ex silver planning, Community CAP, waste &amp; recycling, etc)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GHG Tracking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Insure the same data timelines / processes are followed each year for consistent results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Write explicit procedures that outline who’s responsible for annual updates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Leadership development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Jane Hall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Patrick Clune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Andrew Fagerheim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